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FA6CAF" w:rsidRPr="00FA6CAF" w:rsidTr="0085337E">
        <w:tc>
          <w:tcPr>
            <w:tcW w:w="2599" w:type="dxa"/>
            <w:shd w:val="clear" w:color="auto" w:fill="D9D9D9" w:themeFill="background1" w:themeFillShade="D9"/>
          </w:tcPr>
          <w:p w:rsidR="00FA6CAF" w:rsidRPr="00FA6CAF" w:rsidRDefault="00FA6CAF" w:rsidP="00FA6CAF">
            <w:pPr>
              <w:spacing w:line="240" w:lineRule="exact"/>
              <w:rPr>
                <w:rFonts w:asciiTheme="minorHAnsi" w:hAnsiTheme="minorHAnsi"/>
              </w:rPr>
            </w:pPr>
            <w:bookmarkStart w:id="0" w:name="_GoBack"/>
          </w:p>
          <w:p w:rsidR="00FA6CAF" w:rsidRPr="00FA6CAF" w:rsidRDefault="00FA6CAF" w:rsidP="00FA6CAF">
            <w:pPr>
              <w:spacing w:line="240" w:lineRule="exact"/>
              <w:rPr>
                <w:rFonts w:asciiTheme="minorHAnsi" w:hAnsiTheme="minorHAnsi"/>
                <w:b/>
              </w:rPr>
            </w:pPr>
            <w:r w:rsidRPr="00FA6CAF">
              <w:rPr>
                <w:rFonts w:asciiTheme="minorHAnsi" w:hAnsiTheme="minorHAnsi"/>
                <w:b/>
              </w:rPr>
              <w:t>Thema:</w:t>
            </w:r>
            <w:r w:rsidRPr="00FA6CAF">
              <w:rPr>
                <w:rFonts w:asciiTheme="minorHAnsi" w:hAnsiTheme="minorHAnsi"/>
              </w:rPr>
              <w:t xml:space="preserve"> </w:t>
            </w:r>
          </w:p>
          <w:p w:rsidR="00FA6CAF" w:rsidRPr="00FA6CAF" w:rsidRDefault="00FA6CAF" w:rsidP="00FA6CAF">
            <w:pPr>
              <w:spacing w:line="24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FA6CAF" w:rsidRPr="00A030D8" w:rsidRDefault="00FA6CAF" w:rsidP="00FA6CAF">
            <w:pPr>
              <w:spacing w:line="240" w:lineRule="exact"/>
              <w:rPr>
                <w:rFonts w:asciiTheme="minorHAnsi" w:hAnsiTheme="minorHAnsi"/>
              </w:rPr>
            </w:pPr>
          </w:p>
          <w:p w:rsidR="00FA6CAF" w:rsidRPr="00FA6CAF" w:rsidRDefault="00FA6CAF" w:rsidP="00FA6CAF">
            <w:pPr>
              <w:spacing w:line="240" w:lineRule="exact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Rhetorische Stilmittel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Name der Autorin/</w:t>
            </w:r>
            <w:r w:rsidRPr="00FA6CAF">
              <w:rPr>
                <w:rFonts w:asciiTheme="minorHAnsi" w:hAnsiTheme="minorHAnsi"/>
              </w:rPr>
              <w:br/>
              <w:t>des Autors: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Britta Camin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Fach: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Deutsch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Klasse/Jahrgangsstufe: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 xml:space="preserve">Berufliches Gymnasium Eingangsklasse, </w:t>
            </w:r>
            <w:proofErr w:type="spellStart"/>
            <w:r w:rsidRPr="00FA6CAF">
              <w:rPr>
                <w:rFonts w:asciiTheme="minorHAnsi" w:hAnsiTheme="minorHAnsi"/>
              </w:rPr>
              <w:t>Jgst</w:t>
            </w:r>
            <w:proofErr w:type="spellEnd"/>
            <w:r w:rsidRPr="00FA6CAF">
              <w:rPr>
                <w:rFonts w:asciiTheme="minorHAnsi" w:hAnsiTheme="minorHAnsi"/>
              </w:rPr>
              <w:t>. 1 und 2; BK I und II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Schulart: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Berufliches Gymnasium/Berufskolleg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Lehrplanbezug: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Sprache und Kommunikation: Analyse der sprachlichen Gestaltung, rhet</w:t>
            </w:r>
            <w:r w:rsidRPr="00FA6CAF">
              <w:rPr>
                <w:rFonts w:asciiTheme="minorHAnsi" w:hAnsiTheme="minorHAnsi"/>
              </w:rPr>
              <w:t>o</w:t>
            </w:r>
            <w:r w:rsidRPr="00FA6CAF">
              <w:rPr>
                <w:rFonts w:asciiTheme="minorHAnsi" w:hAnsiTheme="minorHAnsi"/>
              </w:rPr>
              <w:t>rische Mittel und deren Funktion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Zeitumfang: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Jeweils ca. 10 bis 15 Minuten im Rahmen einer Unterrichtseinheit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Betriebssystem/e: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Alle (Achtung: LearningApps.org funktioniert nicht immer einwandfrei auf An</w:t>
            </w:r>
            <w:r w:rsidRPr="00FA6CAF">
              <w:rPr>
                <w:rFonts w:asciiTheme="minorHAnsi" w:hAnsiTheme="minorHAnsi"/>
              </w:rPr>
              <w:t>d</w:t>
            </w:r>
            <w:r w:rsidRPr="00FA6CAF">
              <w:rPr>
                <w:rFonts w:asciiTheme="minorHAnsi" w:hAnsiTheme="minorHAnsi"/>
              </w:rPr>
              <w:t>roid-Geräten!)</w:t>
            </w: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Apps: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LearningApps.org:</w:t>
            </w:r>
          </w:p>
          <w:p w:rsidR="00FA6CAF" w:rsidRPr="00A030D8" w:rsidRDefault="00FA6CAF" w:rsidP="00A030D8">
            <w:pPr>
              <w:pStyle w:val="Listenabsatz"/>
              <w:numPr>
                <w:ilvl w:val="0"/>
                <w:numId w:val="24"/>
              </w:numPr>
              <w:spacing w:before="318" w:after="91" w:line="295" w:lineRule="exact"/>
              <w:rPr>
                <w:rFonts w:asciiTheme="minorHAnsi" w:hAnsiTheme="minorHAnsi"/>
              </w:rPr>
            </w:pPr>
            <w:r w:rsidRPr="00A030D8">
              <w:rPr>
                <w:rFonts w:asciiTheme="minorHAnsi" w:hAnsiTheme="minorHAnsi"/>
                <w:noProof/>
                <w:lang w:eastAsia="zh-TW"/>
              </w:rPr>
              <w:drawing>
                <wp:anchor distT="0" distB="0" distL="114300" distR="114300" simplePos="0" relativeHeight="251660288" behindDoc="1" locked="0" layoutInCell="1" allowOverlap="1" wp14:anchorId="489D79A6" wp14:editId="5C50AEFE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531495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7" name="Grafik 1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0D8">
              <w:rPr>
                <w:rFonts w:asciiTheme="minorHAnsi" w:hAnsiTheme="minorHAnsi"/>
              </w:rPr>
              <w:t xml:space="preserve">Rhetorische Stilmittel erkennen: </w:t>
            </w:r>
            <w:hyperlink r:id="rId13" w:history="1">
              <w:r w:rsidRPr="00A030D8">
                <w:rPr>
                  <w:rFonts w:asciiTheme="minorHAnsi" w:hAnsiTheme="minorHAnsi"/>
                  <w:color w:val="0000FF" w:themeColor="hyperlink"/>
                  <w:u w:val="single"/>
                </w:rPr>
                <w:t>http://LearningApps.org/display?v=p5q4svjh101</w:t>
              </w:r>
            </w:hyperlink>
            <w:r w:rsidRPr="00A030D8">
              <w:rPr>
                <w:rFonts w:asciiTheme="minorHAnsi" w:hAnsiTheme="minorHAnsi"/>
              </w:rPr>
              <w:t xml:space="preserve"> oder</w:t>
            </w:r>
          </w:p>
          <w:p w:rsidR="00FA6CAF" w:rsidRPr="00FA6CAF" w:rsidRDefault="00FA6CAF" w:rsidP="00FA6CAF">
            <w:pPr>
              <w:spacing w:after="91" w:line="295" w:lineRule="exact"/>
              <w:ind w:left="714"/>
              <w:rPr>
                <w:rFonts w:asciiTheme="minorHAnsi" w:hAnsiTheme="minorHAnsi"/>
              </w:rPr>
            </w:pPr>
          </w:p>
          <w:p w:rsidR="00FA6CAF" w:rsidRPr="00FA6CAF" w:rsidRDefault="00FA6CAF" w:rsidP="00FA6CAF">
            <w:pPr>
              <w:spacing w:after="91" w:line="295" w:lineRule="exact"/>
              <w:ind w:left="714"/>
              <w:rPr>
                <w:rFonts w:asciiTheme="minorHAnsi" w:hAnsiTheme="minorHAnsi"/>
              </w:rPr>
            </w:pPr>
          </w:p>
          <w:p w:rsidR="00FA6CAF" w:rsidRPr="00A030D8" w:rsidRDefault="00FA6CAF" w:rsidP="00A030D8">
            <w:pPr>
              <w:pStyle w:val="Listenabsatz"/>
              <w:numPr>
                <w:ilvl w:val="0"/>
                <w:numId w:val="24"/>
              </w:numPr>
              <w:spacing w:after="301" w:line="295" w:lineRule="exact"/>
              <w:rPr>
                <w:rFonts w:asciiTheme="minorHAnsi" w:hAnsiTheme="minorHAnsi"/>
              </w:rPr>
            </w:pPr>
            <w:r w:rsidRPr="00A030D8">
              <w:rPr>
                <w:rFonts w:asciiTheme="minorHAnsi" w:hAnsiTheme="minorHAnsi"/>
              </w:rPr>
              <w:drawing>
                <wp:anchor distT="0" distB="0" distL="114300" distR="114300" simplePos="0" relativeHeight="251659264" behindDoc="1" locked="0" layoutInCell="1" allowOverlap="1" wp14:anchorId="1E563060" wp14:editId="6B8A8E24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419100</wp:posOffset>
                  </wp:positionV>
                  <wp:extent cx="473075" cy="473075"/>
                  <wp:effectExtent l="0" t="0" r="3175" b="3175"/>
                  <wp:wrapTight wrapText="bothSides">
                    <wp:wrapPolygon edited="0">
                      <wp:start x="0" y="0"/>
                      <wp:lineTo x="0" y="20875"/>
                      <wp:lineTo x="20875" y="20875"/>
                      <wp:lineTo x="20875" y="0"/>
                      <wp:lineTo x="0" y="0"/>
                    </wp:wrapPolygon>
                  </wp:wrapTight>
                  <wp:docPr id="18" name="Bild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0D8">
              <w:rPr>
                <w:rFonts w:asciiTheme="minorHAnsi" w:hAnsiTheme="minorHAnsi"/>
              </w:rPr>
              <w:t xml:space="preserve">Rhetorische Stilmittel definieren: </w:t>
            </w:r>
            <w:hyperlink r:id="rId15" w:history="1">
              <w:r w:rsidRPr="00A030D8">
                <w:rPr>
                  <w:rFonts w:asciiTheme="minorHAnsi" w:hAnsiTheme="minorHAnsi"/>
                  <w:color w:val="0000FF" w:themeColor="hyperlink"/>
                  <w:u w:val="single"/>
                </w:rPr>
                <w:t>http://LearningApps.org/display?v=pgf48pg6101</w:t>
              </w:r>
            </w:hyperlink>
            <w:r w:rsidRPr="00A030D8">
              <w:rPr>
                <w:rFonts w:asciiTheme="minorHAnsi" w:hAnsiTheme="minorHAnsi"/>
              </w:rPr>
              <w:t xml:space="preserve"> oder</w:t>
            </w:r>
          </w:p>
          <w:p w:rsidR="00FA6CAF" w:rsidRPr="00FA6CAF" w:rsidRDefault="00FA6CAF" w:rsidP="00FA6CAF">
            <w:pPr>
              <w:spacing w:after="91" w:line="295" w:lineRule="exact"/>
              <w:ind w:left="714"/>
              <w:rPr>
                <w:rFonts w:asciiTheme="minorHAnsi" w:hAnsiTheme="minorHAnsi"/>
              </w:rPr>
            </w:pPr>
          </w:p>
        </w:tc>
      </w:tr>
      <w:tr w:rsidR="00FA6CAF" w:rsidRPr="00FA6CAF" w:rsidTr="0085337E">
        <w:tc>
          <w:tcPr>
            <w:tcW w:w="2599" w:type="dxa"/>
          </w:tcPr>
          <w:p w:rsidR="00FA6CAF" w:rsidRPr="00FA6CAF" w:rsidRDefault="00FA6CAF" w:rsidP="00FA6CAF">
            <w:pPr>
              <w:spacing w:before="120" w:after="120"/>
              <w:rPr>
                <w:rFonts w:asciiTheme="minorHAnsi" w:hAnsiTheme="minorHAnsi"/>
              </w:rPr>
            </w:pPr>
            <w:r w:rsidRPr="00FA6CAF">
              <w:rPr>
                <w:rFonts w:asciiTheme="minorHAnsi" w:hAnsiTheme="minorHAnsi"/>
              </w:rPr>
              <w:t>Technische Settings:</w:t>
            </w:r>
          </w:p>
        </w:tc>
        <w:tc>
          <w:tcPr>
            <w:tcW w:w="7432" w:type="dxa"/>
          </w:tcPr>
          <w:p w:rsidR="00FA6CAF" w:rsidRPr="00FA6CAF" w:rsidRDefault="00FA6CAF" w:rsidP="00FA6CAF">
            <w:pPr>
              <w:spacing w:before="120"/>
              <w:rPr>
                <w:rFonts w:asciiTheme="minorHAnsi" w:hAnsiTheme="minorHAnsi"/>
              </w:rPr>
            </w:pPr>
            <w:proofErr w:type="spellStart"/>
            <w:r w:rsidRPr="00FA6CAF">
              <w:rPr>
                <w:rFonts w:asciiTheme="minorHAnsi" w:hAnsiTheme="minorHAnsi"/>
              </w:rPr>
              <w:t>Beamer</w:t>
            </w:r>
            <w:proofErr w:type="spellEnd"/>
            <w:r w:rsidRPr="00FA6CAF">
              <w:rPr>
                <w:rFonts w:asciiTheme="minorHAnsi" w:hAnsiTheme="minorHAnsi"/>
              </w:rPr>
              <w:t xml:space="preserve">, </w:t>
            </w:r>
            <w:proofErr w:type="spellStart"/>
            <w:r w:rsidRPr="00FA6CAF">
              <w:rPr>
                <w:rFonts w:asciiTheme="minorHAnsi" w:hAnsiTheme="minorHAnsi"/>
              </w:rPr>
              <w:t>Schülertablets</w:t>
            </w:r>
            <w:proofErr w:type="spellEnd"/>
            <w:r w:rsidRPr="00FA6CAF">
              <w:rPr>
                <w:rFonts w:asciiTheme="minorHAnsi" w:hAnsiTheme="minorHAnsi"/>
              </w:rPr>
              <w:t xml:space="preserve"> (wenn möglich 1:1), WLAN, Internetzugang, Browser </w:t>
            </w:r>
          </w:p>
        </w:tc>
      </w:tr>
      <w:tr w:rsidR="00FA6CAF" w:rsidRPr="00FA6CAF" w:rsidTr="0085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6CAF" w:rsidRPr="00A030D8" w:rsidRDefault="00FA6CAF" w:rsidP="00FA6CA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030D8">
              <w:rPr>
                <w:rFonts w:asciiTheme="minorHAnsi" w:hAnsiTheme="minorHAnsi"/>
                <w:b/>
              </w:rPr>
              <w:t>Kurzbeschreibung und Lernziele dieser Unterrichtssequenz für den Tablet-Einsatz:</w:t>
            </w:r>
          </w:p>
        </w:tc>
      </w:tr>
    </w:tbl>
    <w:p w:rsidR="00FA6CAF" w:rsidRPr="00FA6CAF" w:rsidRDefault="00FA6CAF" w:rsidP="00FA6CAF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</w:pP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Rhetorische Stilmittel erkennen und definieren.</w:t>
      </w:r>
    </w:p>
    <w:p w:rsidR="00FA6CAF" w:rsidRPr="00FA6CAF" w:rsidRDefault="00FA6CAF" w:rsidP="00FA6CAF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</w:pP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 xml:space="preserve">Die </w:t>
      </w:r>
      <w:proofErr w:type="spellStart"/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LearningApps</w:t>
      </w:r>
      <w:proofErr w:type="spellEnd"/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 xml:space="preserve"> können in unterschiedlichen Unterrichtssituationen eingesetzt werden. Vorausse</w:t>
      </w: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t</w:t>
      </w: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zung für den Einsatz ist, dass im Unterricht die rhetorischen Mittel bereits behandelt wurden. Die Apps können dann beispielsweise eingesetzt werden:</w:t>
      </w:r>
    </w:p>
    <w:p w:rsidR="00FA6CAF" w:rsidRPr="00A030D8" w:rsidRDefault="00FA6CAF" w:rsidP="00FA6CAF">
      <w:pPr>
        <w:pStyle w:val="AufzhlungAnfang"/>
        <w:rPr>
          <w:sz w:val="22"/>
          <w:szCs w:val="22"/>
        </w:rPr>
      </w:pPr>
      <w:r w:rsidRPr="00A030D8">
        <w:rPr>
          <w:sz w:val="22"/>
          <w:szCs w:val="22"/>
        </w:rPr>
        <w:t>um die Lerninhalte zu festigen, zu üben und zu wiederholen.</w:t>
      </w:r>
    </w:p>
    <w:p w:rsidR="00FA6CAF" w:rsidRPr="00A030D8" w:rsidRDefault="00FA6CAF" w:rsidP="00FA6CAF">
      <w:pPr>
        <w:pStyle w:val="AufzhlungFortsetzung"/>
        <w:rPr>
          <w:sz w:val="22"/>
          <w:szCs w:val="22"/>
        </w:rPr>
      </w:pPr>
      <w:r w:rsidRPr="00A030D8">
        <w:rPr>
          <w:sz w:val="22"/>
          <w:szCs w:val="22"/>
        </w:rPr>
        <w:t>zu Beginn einer Unterrichtsstunde als Motivationsphase.</w:t>
      </w:r>
    </w:p>
    <w:p w:rsidR="00FA6CAF" w:rsidRPr="00A030D8" w:rsidRDefault="00FA6CAF" w:rsidP="00FA6CAF">
      <w:pPr>
        <w:pStyle w:val="AufzhlungFortsetzung"/>
        <w:rPr>
          <w:sz w:val="22"/>
          <w:szCs w:val="22"/>
        </w:rPr>
      </w:pPr>
      <w:r w:rsidRPr="00A030D8">
        <w:rPr>
          <w:sz w:val="22"/>
          <w:szCs w:val="22"/>
        </w:rPr>
        <w:t>zum Abschluss einer Stunde.</w:t>
      </w:r>
    </w:p>
    <w:p w:rsidR="00FA6CAF" w:rsidRPr="00A030D8" w:rsidRDefault="00FA6CAF" w:rsidP="00FA6CAF">
      <w:pPr>
        <w:pStyle w:val="AufzhlungFortsetzung"/>
        <w:rPr>
          <w:sz w:val="22"/>
          <w:szCs w:val="22"/>
        </w:rPr>
      </w:pPr>
      <w:r w:rsidRPr="00A030D8">
        <w:rPr>
          <w:sz w:val="22"/>
          <w:szCs w:val="22"/>
        </w:rPr>
        <w:t>als Hausaufgabe.</w:t>
      </w:r>
    </w:p>
    <w:p w:rsidR="00FA6CAF" w:rsidRPr="00A030D8" w:rsidRDefault="00FA6CAF" w:rsidP="00FA6CAF">
      <w:pPr>
        <w:pStyle w:val="AufzhlungFortsetzung"/>
        <w:rPr>
          <w:sz w:val="22"/>
          <w:szCs w:val="22"/>
        </w:rPr>
      </w:pPr>
      <w:r w:rsidRPr="00A030D8">
        <w:rPr>
          <w:sz w:val="22"/>
          <w:szCs w:val="22"/>
        </w:rPr>
        <w:t>im Rahmen der individuellen Förderung (individuelles bzw. kooperatives Lernen, im Rahmen des Ei</w:t>
      </w:r>
      <w:r w:rsidRPr="00A030D8">
        <w:rPr>
          <w:sz w:val="22"/>
          <w:szCs w:val="22"/>
        </w:rPr>
        <w:t>n</w:t>
      </w:r>
      <w:r w:rsidRPr="00A030D8">
        <w:rPr>
          <w:sz w:val="22"/>
          <w:szCs w:val="22"/>
        </w:rPr>
        <w:t>satzes einer Ich-Kann-Liste).</w:t>
      </w:r>
    </w:p>
    <w:p w:rsidR="00FA6CAF" w:rsidRPr="00A030D8" w:rsidRDefault="00FA6CAF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</w:pPr>
      <w:r w:rsidRPr="00A030D8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br w:type="page"/>
      </w:r>
    </w:p>
    <w:p w:rsidR="00FA6CAF" w:rsidRPr="00FA6CAF" w:rsidRDefault="00FA6CAF" w:rsidP="00FA6CAF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</w:pP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lastRenderedPageBreak/>
        <w:t xml:space="preserve">Hinweis: </w:t>
      </w:r>
    </w:p>
    <w:p w:rsidR="00FA6CAF" w:rsidRPr="00FA6CAF" w:rsidRDefault="00FA6CAF" w:rsidP="00FA6CAF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</w:pP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Der vorliegende Beitrag soll nicht als vollständige Unterrichtseinheit verstanden werden, sondern vielmehr als Unterrichtselement, das speziell in Verbindung mit Tablets durch die Lehrkraft sinnvoll in den eigenen Unte</w:t>
      </w: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r</w:t>
      </w: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richt eingebaut werden kann. Auf die Angabe eines Unterrichtsverlaufs wird de</w:t>
      </w: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>s</w:t>
      </w:r>
      <w:r w:rsidRPr="00FA6CA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de-DE"/>
        </w:rPr>
        <w:t xml:space="preserve">halb verzichtet. </w:t>
      </w:r>
    </w:p>
    <w:p w:rsidR="00FA6CAF" w:rsidRPr="00FA6CAF" w:rsidRDefault="00FA6CAF" w:rsidP="00FA6CAF">
      <w:pPr>
        <w:spacing w:line="240" w:lineRule="exact"/>
        <w:rPr>
          <w:rFonts w:asciiTheme="minorHAnsi" w:hAnsiTheme="minorHAnsi"/>
          <w:color w:val="000000" w:themeColor="text1"/>
          <w:sz w:val="22"/>
          <w:szCs w:val="22"/>
        </w:rPr>
      </w:pPr>
    </w:p>
    <w:p w:rsidR="00FA6CAF" w:rsidRPr="00FA6CAF" w:rsidRDefault="00FA6CAF" w:rsidP="00FA6CAF">
      <w:pPr>
        <w:spacing w:line="240" w:lineRule="exact"/>
        <w:rPr>
          <w:rFonts w:asciiTheme="minorHAnsi" w:hAnsiTheme="minorHAnsi"/>
          <w:color w:val="000000" w:themeColor="text1"/>
          <w:sz w:val="22"/>
          <w:szCs w:val="22"/>
        </w:rPr>
      </w:pPr>
    </w:p>
    <w:p w:rsidR="00FA6CAF" w:rsidRPr="00FA6CAF" w:rsidRDefault="00FA6CAF" w:rsidP="00FA6CAF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:rsidR="00FA6CAF" w:rsidRPr="00FA6CAF" w:rsidRDefault="00FA6CAF" w:rsidP="00FA6CAF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:rsidR="00FA6CAF" w:rsidRPr="00FA6CAF" w:rsidRDefault="00FA6CAF" w:rsidP="00FA6CAF">
      <w:pPr>
        <w:spacing w:line="240" w:lineRule="exact"/>
        <w:rPr>
          <w:rFonts w:asciiTheme="minorHAnsi" w:hAnsiTheme="minorHAnsi"/>
          <w:color w:val="000000" w:themeColor="text1"/>
          <w:sz w:val="22"/>
          <w:szCs w:val="22"/>
        </w:rPr>
      </w:pPr>
    </w:p>
    <w:p w:rsidR="00FA6CAF" w:rsidRPr="00A030D8" w:rsidRDefault="00FA6CAF" w:rsidP="0044650F">
      <w:pPr>
        <w:rPr>
          <w:rFonts w:asciiTheme="minorHAnsi" w:hAnsiTheme="minorHAnsi"/>
          <w:sz w:val="22"/>
          <w:szCs w:val="22"/>
        </w:rPr>
      </w:pPr>
    </w:p>
    <w:p w:rsidR="00FA6CAF" w:rsidRPr="00A030D8" w:rsidRDefault="00FA6CAF" w:rsidP="0044650F">
      <w:pPr>
        <w:rPr>
          <w:rFonts w:asciiTheme="minorHAnsi" w:hAnsiTheme="minorHAnsi"/>
          <w:sz w:val="22"/>
          <w:szCs w:val="22"/>
        </w:rPr>
      </w:pPr>
    </w:p>
    <w:p w:rsidR="00FA6CAF" w:rsidRPr="00A030D8" w:rsidRDefault="00FA6CAF" w:rsidP="0044650F">
      <w:pPr>
        <w:rPr>
          <w:rFonts w:asciiTheme="minorHAnsi" w:hAnsiTheme="minorHAnsi"/>
          <w:sz w:val="22"/>
          <w:szCs w:val="22"/>
        </w:rPr>
      </w:pPr>
    </w:p>
    <w:p w:rsidR="00FA6CAF" w:rsidRPr="00A030D8" w:rsidRDefault="00FA6CAF" w:rsidP="0044650F">
      <w:pPr>
        <w:rPr>
          <w:rFonts w:asciiTheme="minorHAnsi" w:hAnsiTheme="minorHAnsi"/>
          <w:sz w:val="22"/>
          <w:szCs w:val="22"/>
        </w:rPr>
      </w:pPr>
    </w:p>
    <w:bookmarkEnd w:id="0"/>
    <w:p w:rsidR="00CD6932" w:rsidRPr="00A030D8" w:rsidRDefault="00CD6932" w:rsidP="00FA6CAF">
      <w:pPr>
        <w:rPr>
          <w:rFonts w:asciiTheme="minorHAnsi" w:hAnsiTheme="minorHAnsi"/>
          <w:sz w:val="22"/>
          <w:szCs w:val="22"/>
        </w:rPr>
      </w:pPr>
    </w:p>
    <w:sectPr w:rsidR="00CD6932" w:rsidRPr="00A030D8" w:rsidSect="00FA6CAF">
      <w:headerReference w:type="first" r:id="rId16"/>
      <w:footerReference w:type="first" r:id="rId17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AF" w:rsidRDefault="00FA6CAF" w:rsidP="001E03DE">
      <w:r>
        <w:separator/>
      </w:r>
    </w:p>
  </w:endnote>
  <w:endnote w:type="continuationSeparator" w:id="0">
    <w:p w:rsidR="00FA6CAF" w:rsidRDefault="00FA6CA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307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A6CAF" w:rsidRDefault="00FA6CAF" w:rsidP="00FA6CAF">
        <w:pPr>
          <w:pStyle w:val="Fuzeile"/>
          <w:jc w:val="right"/>
          <w:rPr>
            <w:rFonts w:eastAsiaTheme="minorHAnsi" w:cs="Arial"/>
            <w:sz w:val="20"/>
            <w:szCs w:val="24"/>
            <w:lang w:eastAsia="en-US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A030D8">
          <w:rPr>
            <w:noProof/>
            <w:sz w:val="20"/>
          </w:rPr>
          <w:t>1</w:t>
        </w:r>
        <w:r w:rsidRPr="00B127D0">
          <w:rPr>
            <w:sz w:val="20"/>
          </w:rPr>
          <w:fldChar w:fldCharType="end"/>
        </w:r>
      </w:p>
    </w:sdtContent>
  </w:sdt>
  <w:p w:rsidR="00FA6CAF" w:rsidRDefault="00FA6C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AF" w:rsidRDefault="00FA6CAF" w:rsidP="001E03DE">
      <w:r>
        <w:separator/>
      </w:r>
    </w:p>
  </w:footnote>
  <w:footnote w:type="continuationSeparator" w:id="0">
    <w:p w:rsidR="00FA6CAF" w:rsidRDefault="00FA6CA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A6CAF" w:rsidP="00F131AC">
    <w:pPr>
      <w:pStyle w:val="Kopfzeile"/>
    </w:pPr>
    <w:r w:rsidRPr="00AF4F14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8812B28" wp14:editId="2E615B33">
              <wp:simplePos x="0" y="0"/>
              <wp:positionH relativeFrom="page">
                <wp:posOffset>613519</wp:posOffset>
              </wp:positionH>
              <wp:positionV relativeFrom="page">
                <wp:posOffset>276225</wp:posOffset>
              </wp:positionV>
              <wp:extent cx="6219893" cy="435600"/>
              <wp:effectExtent l="0" t="0" r="9525" b="317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AF" w:rsidRPr="00E20335" w:rsidRDefault="00FA6CAF" w:rsidP="00FA6C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erade Verbindung 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" o:spid="_x0000_s1026" style="position:absolute;margin-left:48.3pt;margin-top:21.75pt;width:489.75pt;height:34.3pt;z-index:25166950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A6CAF" w:rsidRPr="00E20335" w:rsidRDefault="00FA6CAF" w:rsidP="00FA6C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5rfDAAAA2gAAAA8AAABkcnMvZG93bnJldi54bWxEj0FrAjEUhO+F/ofwhN5qYg9WVqNoURBK&#10;lV29eHtsnpvFzcuySXX9901B8DjMzDfMbNG7RlypC7VnDaOhAkFcelNzpeF42LxPQISIbLDxTBru&#10;FGAxf32ZYWb8jXO6FrESCcIhQw02xjaTMpSWHIahb4mTd/adw5hkV0nT4S3BXSM/lBpLhzWnBYst&#10;fVkqL8Wv01AXP7vJfb0p7SpX+2IdFX6fLlq/DfrlFESkPj7Dj/bWaPiE/yvp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Lmt8MAAADaAAAADwAAAAAAAAAAAAAAAACf&#10;AgAAZHJzL2Rvd25yZXYueG1sUEsFBgAAAAAEAAQA9wAAAI8DAAAAAA==&#10;">
                <v:imagedata r:id="rId2" o:title=""/>
                <v:path arrowok="t"/>
              </v:shape>
              <v:line id="Gerade Verbindung 8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06Ir4AAADaAAAADwAAAGRycy9kb3ducmV2LnhtbERPTWvCQBC9C/6HZQRvurGHItFVWmml&#10;J0GN7XXITpPQ7GzY3cb4752D4PHxvtfbwbWqpxAbzwYW8wwUceltw5WB4vw5W4KKCdli65kM3CjC&#10;djMerTG3/spH6k+pUhLCMUcDdUpdrnUsa3IY574jFu7XB4dJYKi0DXiVcNfqlyx71Q4bloYaO9rV&#10;VP6d/p3MOLzvi13PDm/H8FMsy8X3x/5izHQyvK1AJRrSU/xwf1kDslWuiB/05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PToi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F66EA3"/>
    <w:multiLevelType w:val="hybridMultilevel"/>
    <w:tmpl w:val="E2AEE5D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"/>
  </w:num>
  <w:num w:numId="22">
    <w:abstractNumId w:val="10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F"/>
    <w:rsid w:val="001A2103"/>
    <w:rsid w:val="001E03DE"/>
    <w:rsid w:val="002223B8"/>
    <w:rsid w:val="00296589"/>
    <w:rsid w:val="00383678"/>
    <w:rsid w:val="00445B6B"/>
    <w:rsid w:val="0044650F"/>
    <w:rsid w:val="005D5E6F"/>
    <w:rsid w:val="008A7911"/>
    <w:rsid w:val="009533B3"/>
    <w:rsid w:val="009935DA"/>
    <w:rsid w:val="009C05F9"/>
    <w:rsid w:val="00A030D8"/>
    <w:rsid w:val="00B127D0"/>
    <w:rsid w:val="00C22DA6"/>
    <w:rsid w:val="00C329C9"/>
    <w:rsid w:val="00CD6932"/>
    <w:rsid w:val="00DA114A"/>
    <w:rsid w:val="00E82045"/>
    <w:rsid w:val="00F131AC"/>
    <w:rsid w:val="00F44A67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A6CAF"/>
    <w:pPr>
      <w:spacing w:line="240" w:lineRule="auto"/>
    </w:pPr>
    <w:rPr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A6CAF"/>
    <w:pPr>
      <w:spacing w:line="240" w:lineRule="auto"/>
    </w:pPr>
    <w:rPr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arningApps.org/display?v=p5q4svjh10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LearningApps.org/display?v=pgf48pg6101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N~1.BRI\AppData\Local\Temp\UE_Beschreibung_mit%20LS-Logo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4B2B-D742-4681-A476-D4AEF46EAD68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F4B85D-E5EF-463A-8CCD-91E73349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8D52-58CE-49AF-B215-1995FE06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1C9058-779B-4416-855B-F32D469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LS-Logo-1.dotx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Camin, Britta (LS)</dc:creator>
  <cp:lastModifiedBy>Camin, Britta (LS)</cp:lastModifiedBy>
  <cp:revision>2</cp:revision>
  <cp:lastPrinted>2015-12-15T15:32:00Z</cp:lastPrinted>
  <dcterms:created xsi:type="dcterms:W3CDTF">2015-12-15T15:21:00Z</dcterms:created>
  <dcterms:modified xsi:type="dcterms:W3CDTF">2015-12-15T15:35:00Z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