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BD3996" w:rsidTr="0002243C">
        <w:tc>
          <w:tcPr>
            <w:tcW w:w="2599" w:type="dxa"/>
            <w:shd w:val="clear" w:color="auto" w:fill="D9D9D9" w:themeFill="background1" w:themeFillShade="D9"/>
          </w:tcPr>
          <w:p w:rsidR="005D5E6F" w:rsidRPr="00B10F65" w:rsidRDefault="005D5E6F" w:rsidP="0002243C">
            <w:pPr>
              <w:rPr>
                <w:szCs w:val="28"/>
              </w:rPr>
            </w:pPr>
          </w:p>
          <w:p w:rsidR="005D5E6F" w:rsidRPr="00BF5DBA" w:rsidRDefault="005D5E6F" w:rsidP="0002243C">
            <w:pPr>
              <w:rPr>
                <w:b/>
              </w:rPr>
            </w:pPr>
            <w:r w:rsidRPr="00BF5DBA">
              <w:rPr>
                <w:b/>
              </w:rPr>
              <w:t>Thema</w:t>
            </w:r>
            <w:r>
              <w:rPr>
                <w:b/>
              </w:rPr>
              <w:t>:</w:t>
            </w:r>
          </w:p>
          <w:p w:rsidR="005D5E6F" w:rsidRPr="00BD3996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584350" w:rsidRDefault="00584350" w:rsidP="0002243C"/>
          <w:p w:rsidR="005D5E6F" w:rsidRPr="00BD3996" w:rsidRDefault="00383CCC" w:rsidP="0002243C">
            <w:r>
              <w:t>Von der Bilanz zum Buchungssatz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E105B8" w:rsidP="0002243C">
            <w:pPr>
              <w:pStyle w:val="Formular1"/>
            </w:pPr>
            <w:r>
              <w:t>Name der Autoren</w:t>
            </w:r>
            <w:r w:rsidR="005D5E6F">
              <w:t>:</w:t>
            </w:r>
          </w:p>
        </w:tc>
        <w:tc>
          <w:tcPr>
            <w:tcW w:w="7432" w:type="dxa"/>
          </w:tcPr>
          <w:p w:rsidR="005D5E6F" w:rsidRPr="00BD3996" w:rsidRDefault="00383CCC" w:rsidP="0002243C">
            <w:pPr>
              <w:pStyle w:val="Formular1"/>
            </w:pPr>
            <w:r>
              <w:t>Angelika Schwarz, Thomas Cleesattel, Stefan Kaltenbach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E3FC4" w:rsidP="000E3FC4">
            <w:pPr>
              <w:pStyle w:val="Formular1"/>
            </w:pPr>
            <w:r>
              <w:t>Volks- und Betriebswirtschaftslehre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AF5502" w:rsidP="0002243C">
            <w:pPr>
              <w:pStyle w:val="Formular1"/>
            </w:pPr>
            <w:r>
              <w:t>Eingangsklasse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AF5502" w:rsidP="0002243C">
            <w:pPr>
              <w:pStyle w:val="Formular1"/>
            </w:pPr>
            <w:r>
              <w:t>Wirtschaftsgymnasium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:rsidR="005D5E6F" w:rsidRDefault="00AF5502" w:rsidP="0002243C">
            <w:pPr>
              <w:pStyle w:val="Formular1"/>
            </w:pPr>
            <w:r>
              <w:t>LPE 5 – Einführung in das externe Rechnungswesen/</w:t>
            </w:r>
          </w:p>
          <w:p w:rsidR="00AF5502" w:rsidRPr="00BD3996" w:rsidRDefault="00AF5502" w:rsidP="0002243C">
            <w:pPr>
              <w:pStyle w:val="Formular1"/>
            </w:pPr>
            <w:r>
              <w:t>Buchungssatz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383CCC" w:rsidP="0002243C">
            <w:pPr>
              <w:pStyle w:val="Formular1"/>
            </w:pPr>
            <w:r>
              <w:t>45 Minuten (maximal)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:rsidR="005D5E6F" w:rsidRPr="00BD3996" w:rsidRDefault="00AF5502" w:rsidP="0002243C">
            <w:pPr>
              <w:pStyle w:val="Formular1"/>
            </w:pPr>
            <w:r>
              <w:t>unabhängig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923A35" w:rsidP="00923A35">
            <w:pPr>
              <w:pStyle w:val="Formular1"/>
            </w:pPr>
            <w:r>
              <w:t>QR-Code Scanner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383CCC" w:rsidP="0002243C">
            <w:pPr>
              <w:pStyle w:val="Formular2"/>
            </w:pPr>
            <w:proofErr w:type="spellStart"/>
            <w:r>
              <w:t>Beamer</w:t>
            </w:r>
            <w:proofErr w:type="spellEnd"/>
            <w:r>
              <w:t xml:space="preserve">, </w:t>
            </w:r>
            <w:proofErr w:type="spellStart"/>
            <w:r>
              <w:t>Schülertablets</w:t>
            </w:r>
            <w:proofErr w:type="spellEnd"/>
            <w:r>
              <w:t xml:space="preserve"> (1:1)</w:t>
            </w:r>
            <w:r w:rsidR="00584350">
              <w:t xml:space="preserve"> oder Smartphone</w:t>
            </w:r>
            <w:r>
              <w:t>,</w:t>
            </w:r>
            <w:r w:rsidR="00584350">
              <w:t xml:space="preserve"> digitales</w:t>
            </w:r>
            <w:r>
              <w:t xml:space="preserve"> Dateimanagement, Kopfhörer</w:t>
            </w:r>
          </w:p>
        </w:tc>
      </w:tr>
      <w:tr w:rsidR="005D5E6F" w:rsidRPr="00BD3996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3CCC" w:rsidRDefault="005D5E6F" w:rsidP="0002243C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>dieser Unterrichtssequenz für den Tablet-Einsatz</w:t>
            </w:r>
            <w:r>
              <w:t>:</w:t>
            </w:r>
            <w:r>
              <w:br/>
            </w:r>
            <w:r w:rsidR="00923A35" w:rsidRPr="00923A35">
              <w:t>D</w:t>
            </w:r>
            <w:r w:rsidR="00923A35">
              <w:t>i</w:t>
            </w:r>
            <w:r w:rsidR="00923A35" w:rsidRPr="00923A35">
              <w:t>e vorliegende</w:t>
            </w:r>
            <w:r w:rsidR="00923A35">
              <w:t>n Bausteine s</w:t>
            </w:r>
            <w:r w:rsidR="00923A35" w:rsidRPr="00923A35">
              <w:t>oll nicht als vollständige Unterrichtseinheit verstanden werden, sondern vie</w:t>
            </w:r>
            <w:r w:rsidR="00923A35" w:rsidRPr="00923A35">
              <w:t>l</w:t>
            </w:r>
            <w:r w:rsidR="00923A35" w:rsidRPr="00923A35">
              <w:t xml:space="preserve">mehr als Unterrichtselemente, die in Verbindung mit Tablets </w:t>
            </w:r>
            <w:r w:rsidR="00923A35">
              <w:t xml:space="preserve">(oder Smartphones) </w:t>
            </w:r>
            <w:r w:rsidR="00923A35" w:rsidRPr="00923A35">
              <w:t>durch die Lehrkraft sinnvoll in den eigenen Unterricht eingebaut werden können. Auf die Angabe eines Unterrichtsverlaufs wird deshalb verzichtet.</w:t>
            </w:r>
            <w:r w:rsidR="00923A35">
              <w:t xml:space="preserve"> </w:t>
            </w:r>
            <w:r w:rsidR="00383CCC">
              <w:t>Mit diesen Bausteinen kann die Lehrkraft im Unterricht eine Binnendifferenzierung erreichen.</w:t>
            </w:r>
          </w:p>
          <w:p w:rsidR="00923A35" w:rsidRDefault="00923A35" w:rsidP="0002243C">
            <w:pPr>
              <w:pStyle w:val="Formular1"/>
            </w:pPr>
            <w:r>
              <w:t xml:space="preserve">Durch das </w:t>
            </w:r>
            <w:proofErr w:type="spellStart"/>
            <w:r>
              <w:t>Erklärvideo</w:t>
            </w:r>
            <w:proofErr w:type="spellEnd"/>
            <w:r>
              <w:t xml:space="preserve"> „Von der Bilanz zum Buchungssatz“ können die </w:t>
            </w:r>
            <w:proofErr w:type="spellStart"/>
            <w:r>
              <w:t>SuS</w:t>
            </w:r>
            <w:proofErr w:type="spellEnd"/>
            <w:r>
              <w:t xml:space="preserve"> in ihrem eigenen Lerntempo arbe</w:t>
            </w:r>
            <w:r>
              <w:t>i</w:t>
            </w:r>
            <w:r>
              <w:t>ten können. Sie können sich Inhalte, die sich nicht auf Anhieb verstehen nochmal anschauen bzw. später nochmal reinschauen.</w:t>
            </w:r>
          </w:p>
          <w:p w:rsidR="00923A35" w:rsidRDefault="00923A35" w:rsidP="0002243C">
            <w:pPr>
              <w:pStyle w:val="Formular1"/>
            </w:pPr>
            <w:r>
              <w:t xml:space="preserve">Auch die QR-Codes unterstützen die Binnendifferenzierung: </w:t>
            </w:r>
          </w:p>
          <w:p w:rsidR="00383CCC" w:rsidRDefault="00923A35" w:rsidP="0002243C">
            <w:pPr>
              <w:pStyle w:val="Formular1"/>
            </w:pPr>
            <w:r>
              <w:t xml:space="preserve">Zum einen </w:t>
            </w:r>
            <w:r w:rsidR="00383CCC">
              <w:t xml:space="preserve">kann man den </w:t>
            </w:r>
            <w:proofErr w:type="spellStart"/>
            <w:r w:rsidR="00383CCC">
              <w:t>SuS</w:t>
            </w:r>
            <w:proofErr w:type="spellEnd"/>
            <w:r w:rsidR="00383CCC">
              <w:t xml:space="preserve"> </w:t>
            </w:r>
            <w:r>
              <w:t xml:space="preserve">direkt die </w:t>
            </w:r>
            <w:r w:rsidR="00383CCC">
              <w:t xml:space="preserve">Lösungen zu </w:t>
            </w:r>
            <w:r>
              <w:t xml:space="preserve">den </w:t>
            </w:r>
            <w:r w:rsidR="00383CCC">
              <w:t>Aufgaben geben</w:t>
            </w:r>
            <w:r w:rsidR="00A17153">
              <w:t>. Da die</w:t>
            </w:r>
            <w:r>
              <w:t xml:space="preserve">se </w:t>
            </w:r>
            <w:r w:rsidR="00A17153">
              <w:t>in Form eines QR-Codes vorliegen, ist ein „versehentliches“ Lesen ausgeschlossen. In Arbeitsphasen ist die Lehr</w:t>
            </w:r>
            <w:r>
              <w:t xml:space="preserve">kraft dadurch entlastet und </w:t>
            </w:r>
            <w:r w:rsidR="00A17153">
              <w:t xml:space="preserve"> kann sich um Probleme oder schwächere </w:t>
            </w:r>
            <w:proofErr w:type="spellStart"/>
            <w:r w:rsidR="00A17153">
              <w:t>SuS</w:t>
            </w:r>
            <w:proofErr w:type="spellEnd"/>
            <w:r w:rsidR="00A17153">
              <w:t xml:space="preserve"> kümmern. Darüber hinaus können sich </w:t>
            </w:r>
            <w:proofErr w:type="spellStart"/>
            <w:r w:rsidR="00A17153">
              <w:t>SuS</w:t>
            </w:r>
            <w:proofErr w:type="spellEnd"/>
            <w:r w:rsidR="00A17153">
              <w:t xml:space="preserve"> selbst kontro</w:t>
            </w:r>
            <w:r w:rsidR="00A17153">
              <w:t>l</w:t>
            </w:r>
            <w:r w:rsidR="00A17153">
              <w:t xml:space="preserve">lieren. Stellen sie fest, dass das Ergebnis falsch ist, müssen sie ihren Lösungsweg überprüfen. Finden sie den Fehler </w:t>
            </w:r>
            <w:r>
              <w:t xml:space="preserve">(bspw. mit Hilfe des </w:t>
            </w:r>
            <w:proofErr w:type="spellStart"/>
            <w:r>
              <w:t>Erklärvideos</w:t>
            </w:r>
            <w:proofErr w:type="spellEnd"/>
            <w:r>
              <w:t>) gehen sie eigenständig zur nächsten Aufgabe.</w:t>
            </w:r>
          </w:p>
          <w:p w:rsidR="000E3FC4" w:rsidRPr="00FD20DA" w:rsidRDefault="00923A35" w:rsidP="00923A35">
            <w:pPr>
              <w:pStyle w:val="Formular1"/>
            </w:pPr>
            <w:r>
              <w:t xml:space="preserve">Zum anderen unterstützen gestufte Hilfestellungen ebenfalls das individuelle Lernen. Auch diese Hinweise können sehr einfach durch QR-Codes verschlüsselt werden. </w:t>
            </w:r>
            <w:r w:rsidR="00EF0312">
              <w:t xml:space="preserve">Schwache </w:t>
            </w:r>
            <w:proofErr w:type="spellStart"/>
            <w:r w:rsidR="00EF0312">
              <w:t>SuS</w:t>
            </w:r>
            <w:proofErr w:type="spellEnd"/>
            <w:r w:rsidR="00EF0312">
              <w:t xml:space="preserve"> bekommen </w:t>
            </w:r>
            <w:r>
              <w:t xml:space="preserve">so </w:t>
            </w:r>
            <w:r w:rsidR="00EF0312">
              <w:t>durch mehrere Hi</w:t>
            </w:r>
            <w:r w:rsidR="00EF0312">
              <w:t>l</w:t>
            </w:r>
            <w:r w:rsidR="00EF0312">
              <w:t xml:space="preserve">fen die Möglichkeit, die Aufgaben eigenständig zu lösen. Leistungsstarke </w:t>
            </w:r>
            <w:proofErr w:type="spellStart"/>
            <w:r w:rsidR="00EF0312">
              <w:t>SuS</w:t>
            </w:r>
            <w:proofErr w:type="spellEnd"/>
            <w:r w:rsidR="00EF0312">
              <w:t xml:space="preserve"> brauchen diese Hilfen vielleicht nicht und überprüfen wieder nur das Ergebnis.</w:t>
            </w:r>
          </w:p>
        </w:tc>
      </w:tr>
    </w:tbl>
    <w:p w:rsidR="00923A35" w:rsidRDefault="00923A35" w:rsidP="0044650F"/>
    <w:p w:rsidR="00923A35" w:rsidRDefault="00D65F9D" w:rsidP="0044650F">
      <w:pPr>
        <w:rPr>
          <w:rFonts w:asciiTheme="minorHAnsi" w:hAnsiTheme="minorHAnsi"/>
          <w:b/>
          <w:color w:val="000000" w:themeColor="text1"/>
          <w:sz w:val="22"/>
          <w:lang w:val="en-US"/>
        </w:rPr>
      </w:pPr>
      <w:proofErr w:type="spellStart"/>
      <w:r w:rsidRPr="000555E8">
        <w:rPr>
          <w:rFonts w:asciiTheme="minorHAnsi" w:hAnsiTheme="minorHAnsi"/>
          <w:b/>
          <w:color w:val="000000" w:themeColor="text1"/>
          <w:sz w:val="22"/>
          <w:lang w:val="en-US"/>
        </w:rPr>
        <w:t>Bildq</w:t>
      </w:r>
      <w:r w:rsidR="00923A35" w:rsidRPr="000555E8">
        <w:rPr>
          <w:rFonts w:asciiTheme="minorHAnsi" w:hAnsiTheme="minorHAnsi"/>
          <w:b/>
          <w:color w:val="000000" w:themeColor="text1"/>
          <w:sz w:val="22"/>
          <w:lang w:val="en-US"/>
        </w:rPr>
        <w:t>uellen</w:t>
      </w:r>
      <w:proofErr w:type="spellEnd"/>
      <w:r w:rsidR="00923A35" w:rsidRPr="000555E8">
        <w:rPr>
          <w:rFonts w:asciiTheme="minorHAnsi" w:hAnsiTheme="minorHAnsi"/>
          <w:b/>
          <w:color w:val="000000" w:themeColor="text1"/>
          <w:sz w:val="22"/>
          <w:lang w:val="en-US"/>
        </w:rPr>
        <w:t>:</w:t>
      </w:r>
    </w:p>
    <w:p w:rsidR="008C45E6" w:rsidRPr="000555E8" w:rsidRDefault="008C45E6" w:rsidP="0044650F">
      <w:pPr>
        <w:rPr>
          <w:rFonts w:asciiTheme="minorHAnsi" w:hAnsiTheme="minorHAnsi"/>
          <w:b/>
          <w:color w:val="000000" w:themeColor="text1"/>
          <w:sz w:val="22"/>
          <w:lang w:val="en-US"/>
        </w:rPr>
      </w:pPr>
    </w:p>
    <w:p w:rsidR="00923A35" w:rsidRPr="008C45E6" w:rsidRDefault="00923A35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  <w:proofErr w:type="spellStart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Geldbörse</w:t>
      </w:r>
      <w:proofErr w:type="spellEnd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:</w:t>
      </w:r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Wallet by </w:t>
      </w:r>
      <w:proofErr w:type="spellStart"/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Pundimon</w:t>
      </w:r>
      <w:proofErr w:type="spellEnd"/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from the Noun Project, </w:t>
      </w:r>
      <w:r w:rsidR="008C45E6" w:rsidRPr="008C45E6">
        <w:rPr>
          <w:rFonts w:asciiTheme="minorHAnsi" w:hAnsiTheme="minorHAnsi"/>
          <w:sz w:val="22"/>
          <w:szCs w:val="22"/>
          <w:lang w:val="en-US"/>
        </w:rPr>
        <w:t>https://thenounproject.com/term/wallet/1205565</w:t>
      </w:r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Lizenz</w:t>
      </w:r>
      <w:proofErr w:type="spellEnd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: (CC BY 3.0)</w:t>
      </w:r>
    </w:p>
    <w:p w:rsidR="00D65F9D" w:rsidRPr="008C45E6" w:rsidRDefault="00D65F9D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</w:p>
    <w:p w:rsidR="00923A35" w:rsidRDefault="00923A35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  <w:proofErr w:type="spellStart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Zwei</w:t>
      </w:r>
      <w:proofErr w:type="spellEnd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Münzenstapel</w:t>
      </w:r>
      <w:proofErr w:type="spellEnd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:</w:t>
      </w:r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Dollar Coins by Ben </w:t>
      </w:r>
      <w:proofErr w:type="spellStart"/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Iconator</w:t>
      </w:r>
      <w:proofErr w:type="spellEnd"/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from the Noun Project, </w:t>
      </w:r>
      <w:hyperlink r:id="rId9" w:history="1">
        <w:r w:rsidR="002C37AF" w:rsidRPr="008C45E6">
          <w:rPr>
            <w:rFonts w:asciiTheme="minorHAnsi" w:eastAsia="Times New Roman" w:hAnsiTheme="minorHAnsi" w:cs="Times New Roman"/>
            <w:color w:val="000000" w:themeColor="text1"/>
            <w:sz w:val="22"/>
            <w:szCs w:val="22"/>
            <w:lang w:val="en-US"/>
          </w:rPr>
          <w:t>https://thenounproject.com/term/dollar-coins/481802/</w:t>
        </w:r>
      </w:hyperlink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Lizenz</w:t>
      </w:r>
      <w:proofErr w:type="spellEnd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: (</w:t>
      </w:r>
      <w:hyperlink r:id="rId10" w:anchor="!creator-terms" w:history="1">
        <w:r w:rsidR="00D65F9D" w:rsidRPr="008963C5">
          <w:rPr>
            <w:rStyle w:val="Hyperlink"/>
            <w:rFonts w:asciiTheme="minorHAnsi" w:eastAsia="Times New Roman" w:hAnsiTheme="minorHAnsi" w:cs="Times New Roman"/>
            <w:sz w:val="22"/>
            <w:szCs w:val="22"/>
            <w:lang w:val="en-US"/>
          </w:rPr>
          <w:t>CC BY 3.0</w:t>
        </w:r>
      </w:hyperlink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)</w:t>
      </w:r>
    </w:p>
    <w:p w:rsidR="008C45E6" w:rsidRDefault="008C45E6">
      <w:pPr>
        <w:spacing w:line="276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br w:type="page"/>
      </w:r>
    </w:p>
    <w:p w:rsidR="008C45E6" w:rsidRPr="008C45E6" w:rsidRDefault="00923A35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lastRenderedPageBreak/>
        <w:t>Euro-Note:</w:t>
      </w:r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cash by </w:t>
      </w:r>
      <w:proofErr w:type="spellStart"/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Rockicon</w:t>
      </w:r>
      <w:proofErr w:type="spellEnd"/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from the Noun Project,</w:t>
      </w:r>
    </w:p>
    <w:p w:rsidR="00923A35" w:rsidRPr="008C45E6" w:rsidRDefault="008C45E6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https://thenounproject.com/term/cash/840093</w:t>
      </w:r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Lizenz</w:t>
      </w:r>
      <w:proofErr w:type="spellEnd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: (</w:t>
      </w:r>
      <w:hyperlink r:id="rId11" w:anchor="!creator-terms" w:history="1">
        <w:r w:rsidR="00D65F9D" w:rsidRPr="008963C5">
          <w:rPr>
            <w:rStyle w:val="Hyperlink"/>
            <w:rFonts w:asciiTheme="minorHAnsi" w:eastAsia="Times New Roman" w:hAnsiTheme="minorHAnsi" w:cs="Times New Roman"/>
            <w:sz w:val="22"/>
            <w:szCs w:val="22"/>
            <w:lang w:val="en-US"/>
          </w:rPr>
          <w:t>CC BY 3.0</w:t>
        </w:r>
      </w:hyperlink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)</w:t>
      </w:r>
    </w:p>
    <w:p w:rsidR="00D65F9D" w:rsidRPr="008C45E6" w:rsidRDefault="00D65F9D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</w:p>
    <w:p w:rsidR="00923A35" w:rsidRPr="008C45E6" w:rsidRDefault="00923A35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  <w:proofErr w:type="spellStart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Figur</w:t>
      </w:r>
      <w:proofErr w:type="spellEnd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:</w:t>
      </w:r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business wear</w:t>
      </w:r>
      <w:proofErr w:type="gramEnd"/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by </w:t>
      </w:r>
      <w:proofErr w:type="spellStart"/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Gan</w:t>
      </w:r>
      <w:proofErr w:type="spellEnd"/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Khoon</w:t>
      </w:r>
      <w:proofErr w:type="spellEnd"/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Lay from the Noun Project, </w:t>
      </w:r>
      <w:hyperlink r:id="rId12" w:history="1">
        <w:r w:rsidR="00D65F9D" w:rsidRPr="008C45E6">
          <w:rPr>
            <w:rFonts w:asciiTheme="minorHAnsi" w:eastAsia="Times New Roman" w:hAnsiTheme="minorHAnsi" w:cs="Times New Roman"/>
            <w:color w:val="000000" w:themeColor="text1"/>
            <w:sz w:val="22"/>
            <w:szCs w:val="22"/>
            <w:lang w:val="en-US"/>
          </w:rPr>
          <w:t>https://thenounproject.com/term/business-wear/661502/</w:t>
        </w:r>
      </w:hyperlink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Lizenz</w:t>
      </w:r>
      <w:proofErr w:type="spellEnd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: (</w:t>
      </w:r>
      <w:hyperlink r:id="rId13" w:anchor="!creator-terms" w:history="1">
        <w:r w:rsidR="00D65F9D" w:rsidRPr="008963C5">
          <w:rPr>
            <w:rStyle w:val="Hyperlink"/>
            <w:rFonts w:asciiTheme="minorHAnsi" w:eastAsia="Times New Roman" w:hAnsiTheme="minorHAnsi" w:cs="Times New Roman"/>
            <w:sz w:val="22"/>
            <w:szCs w:val="22"/>
            <w:lang w:val="en-US"/>
          </w:rPr>
          <w:t>CC BY 3.0</w:t>
        </w:r>
      </w:hyperlink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)</w:t>
      </w:r>
    </w:p>
    <w:p w:rsidR="00D65F9D" w:rsidRPr="008C45E6" w:rsidRDefault="00D65F9D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</w:p>
    <w:p w:rsidR="00923A35" w:rsidRPr="008C45E6" w:rsidRDefault="00923A35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  <w:proofErr w:type="spellStart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Tänzer</w:t>
      </w:r>
      <w:proofErr w:type="spellEnd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: disco dance by </w:t>
      </w:r>
      <w:proofErr w:type="spellStart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Gan</w:t>
      </w:r>
      <w:proofErr w:type="spellEnd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Khoon</w:t>
      </w:r>
      <w:proofErr w:type="spellEnd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Lay from the Noun Project, </w:t>
      </w:r>
      <w:hyperlink r:id="rId14" w:history="1">
        <w:r w:rsidRPr="008C45E6">
          <w:rPr>
            <w:rFonts w:asciiTheme="minorHAnsi" w:eastAsia="Times New Roman" w:hAnsiTheme="minorHAnsi" w:cs="Times New Roman"/>
            <w:color w:val="000000" w:themeColor="text1"/>
            <w:sz w:val="22"/>
            <w:szCs w:val="22"/>
            <w:lang w:val="en-US"/>
          </w:rPr>
          <w:t>https://thenounproject.com/term/disco-dance/682585/</w:t>
        </w:r>
      </w:hyperlink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Lizenz</w:t>
      </w:r>
      <w:proofErr w:type="spellEnd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: (</w:t>
      </w:r>
      <w:hyperlink r:id="rId15" w:anchor="!creator-terms" w:history="1">
        <w:r w:rsidR="00D65F9D" w:rsidRPr="008963C5">
          <w:rPr>
            <w:rStyle w:val="Hyperlink"/>
            <w:rFonts w:asciiTheme="minorHAnsi" w:eastAsia="Times New Roman" w:hAnsiTheme="minorHAnsi" w:cs="Times New Roman"/>
            <w:sz w:val="22"/>
            <w:szCs w:val="22"/>
            <w:lang w:val="en-US"/>
          </w:rPr>
          <w:t>CC BY 3.0</w:t>
        </w:r>
      </w:hyperlink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)</w:t>
      </w:r>
    </w:p>
    <w:p w:rsidR="00D65F9D" w:rsidRPr="008C45E6" w:rsidRDefault="00D65F9D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</w:p>
    <w:p w:rsidR="00923A35" w:rsidRPr="008C45E6" w:rsidRDefault="00923A35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  <w:proofErr w:type="spellStart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Münstapel</w:t>
      </w:r>
      <w:proofErr w:type="spellEnd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:</w:t>
      </w:r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Coins by Muammar Khalid from the Noun Project, </w:t>
      </w:r>
      <w:hyperlink r:id="rId16" w:history="1">
        <w:r w:rsidR="002C37AF" w:rsidRPr="008C45E6">
          <w:rPr>
            <w:rFonts w:asciiTheme="minorHAnsi" w:eastAsia="Times New Roman" w:hAnsiTheme="minorHAnsi" w:cs="Times New Roman"/>
            <w:color w:val="000000" w:themeColor="text1"/>
            <w:sz w:val="22"/>
            <w:szCs w:val="22"/>
            <w:lang w:val="en-US"/>
          </w:rPr>
          <w:t>https://thenounproject.com/term/coins/921233/</w:t>
        </w:r>
      </w:hyperlink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Lizenz</w:t>
      </w:r>
      <w:proofErr w:type="spellEnd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: (</w:t>
      </w:r>
      <w:hyperlink r:id="rId17" w:anchor="!creator-terms" w:history="1">
        <w:r w:rsidR="00D65F9D" w:rsidRPr="008963C5">
          <w:rPr>
            <w:rStyle w:val="Hyperlink"/>
            <w:rFonts w:asciiTheme="minorHAnsi" w:eastAsia="Times New Roman" w:hAnsiTheme="minorHAnsi" w:cs="Times New Roman"/>
            <w:sz w:val="22"/>
            <w:szCs w:val="22"/>
            <w:lang w:val="en-US"/>
          </w:rPr>
          <w:t>CC BY 3.0</w:t>
        </w:r>
      </w:hyperlink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)</w:t>
      </w:r>
    </w:p>
    <w:p w:rsidR="00D65F9D" w:rsidRPr="008C45E6" w:rsidRDefault="00D65F9D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</w:p>
    <w:p w:rsidR="00923A35" w:rsidRPr="008C45E6" w:rsidRDefault="00923A35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  <w:proofErr w:type="spellStart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Rechnung</w:t>
      </w:r>
      <w:proofErr w:type="spellEnd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:</w:t>
      </w:r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Billing by </w:t>
      </w:r>
      <w:proofErr w:type="spellStart"/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Suji</w:t>
      </w:r>
      <w:proofErr w:type="spellEnd"/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from the Noun Project, </w:t>
      </w:r>
      <w:r w:rsidR="008C45E6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https://thenounproject.com/term/billing/1134126</w:t>
      </w:r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Lizenz</w:t>
      </w:r>
      <w:proofErr w:type="spellEnd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: (</w:t>
      </w:r>
      <w:hyperlink r:id="rId18" w:anchor="!creator-terms" w:history="1">
        <w:r w:rsidR="00D65F9D" w:rsidRPr="008963C5">
          <w:rPr>
            <w:rStyle w:val="Hyperlink"/>
            <w:rFonts w:asciiTheme="minorHAnsi" w:eastAsia="Times New Roman" w:hAnsiTheme="minorHAnsi" w:cs="Times New Roman"/>
            <w:sz w:val="22"/>
            <w:szCs w:val="22"/>
            <w:lang w:val="en-US"/>
          </w:rPr>
          <w:t>CC BY 3.0</w:t>
        </w:r>
      </w:hyperlink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)</w:t>
      </w:r>
    </w:p>
    <w:p w:rsidR="00D65F9D" w:rsidRPr="008C45E6" w:rsidRDefault="00D65F9D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</w:p>
    <w:p w:rsidR="00923A35" w:rsidRPr="008C45E6" w:rsidRDefault="00923A35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Laptop:</w:t>
      </w:r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Laptop by Emir </w:t>
      </w:r>
      <w:proofErr w:type="spellStart"/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Palavan</w:t>
      </w:r>
      <w:proofErr w:type="spellEnd"/>
      <w:r w:rsidR="002C37AF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from the Noun Project, </w:t>
      </w:r>
      <w:r w:rsidR="008C45E6" w:rsidRPr="008C45E6">
        <w:rPr>
          <w:rFonts w:asciiTheme="minorHAnsi" w:hAnsiTheme="minorHAnsi"/>
          <w:sz w:val="22"/>
          <w:szCs w:val="22"/>
          <w:lang w:val="en-US"/>
        </w:rPr>
        <w:t>https://thenounproject.com/term/laptop/881144</w:t>
      </w:r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Lizenz</w:t>
      </w:r>
      <w:proofErr w:type="spellEnd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: (</w:t>
      </w:r>
      <w:hyperlink r:id="rId19" w:anchor="!creator-terms" w:history="1">
        <w:r w:rsidR="00D65F9D" w:rsidRPr="008963C5">
          <w:rPr>
            <w:rStyle w:val="Hyperlink"/>
            <w:rFonts w:asciiTheme="minorHAnsi" w:eastAsia="Times New Roman" w:hAnsiTheme="minorHAnsi" w:cs="Times New Roman"/>
            <w:sz w:val="22"/>
            <w:szCs w:val="22"/>
            <w:lang w:val="en-US"/>
          </w:rPr>
          <w:t>CC BY 3.0</w:t>
        </w:r>
      </w:hyperlink>
      <w:bookmarkStart w:id="0" w:name="_GoBack"/>
      <w:bookmarkEnd w:id="0"/>
      <w:r w:rsidR="00D65F9D"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)</w:t>
      </w:r>
    </w:p>
    <w:p w:rsidR="00923A35" w:rsidRPr="008C45E6" w:rsidRDefault="00923A35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</w:p>
    <w:p w:rsidR="000555E8" w:rsidRPr="008C45E6" w:rsidRDefault="000555E8" w:rsidP="0044650F">
      <w:pPr>
        <w:rPr>
          <w:rFonts w:asciiTheme="minorHAnsi" w:eastAsia="Times New Roman" w:hAnsiTheme="minorHAnsi" w:cs="Times New Roman"/>
          <w:b/>
          <w:color w:val="000000" w:themeColor="text1"/>
          <w:sz w:val="22"/>
          <w:szCs w:val="22"/>
          <w:lang w:val="en-US"/>
        </w:rPr>
      </w:pPr>
      <w:r w:rsidRPr="008C45E6">
        <w:rPr>
          <w:rFonts w:asciiTheme="minorHAnsi" w:eastAsia="Times New Roman" w:hAnsiTheme="minorHAnsi" w:cs="Times New Roman"/>
          <w:b/>
          <w:color w:val="000000" w:themeColor="text1"/>
          <w:sz w:val="22"/>
          <w:szCs w:val="22"/>
          <w:lang w:val="en-US"/>
        </w:rPr>
        <w:t>Film:</w:t>
      </w:r>
    </w:p>
    <w:p w:rsidR="000555E8" w:rsidRPr="008C45E6" w:rsidRDefault="000555E8" w:rsidP="0044650F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</w:pPr>
      <w:proofErr w:type="spellStart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Selbst</w:t>
      </w:r>
      <w:proofErr w:type="spellEnd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C45E6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erstellt</w:t>
      </w:r>
      <w:proofErr w:type="spellEnd"/>
    </w:p>
    <w:sectPr w:rsidR="000555E8" w:rsidRPr="008C45E6" w:rsidSect="00923A35">
      <w:pgSz w:w="11906" w:h="16838" w:code="9"/>
      <w:pgMar w:top="1418" w:right="851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9C" w:rsidRDefault="000D6D9C" w:rsidP="001E03DE">
      <w:r>
        <w:separator/>
      </w:r>
    </w:p>
  </w:endnote>
  <w:endnote w:type="continuationSeparator" w:id="0">
    <w:p w:rsidR="000D6D9C" w:rsidRDefault="000D6D9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9C" w:rsidRDefault="000D6D9C" w:rsidP="001E03DE">
      <w:r>
        <w:separator/>
      </w:r>
    </w:p>
  </w:footnote>
  <w:footnote w:type="continuationSeparator" w:id="0">
    <w:p w:rsidR="000D6D9C" w:rsidRDefault="000D6D9C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7D"/>
    <w:rsid w:val="000555E8"/>
    <w:rsid w:val="000D6D9C"/>
    <w:rsid w:val="000E3FC4"/>
    <w:rsid w:val="001A2103"/>
    <w:rsid w:val="001E03DE"/>
    <w:rsid w:val="002223B8"/>
    <w:rsid w:val="00234B0D"/>
    <w:rsid w:val="00296589"/>
    <w:rsid w:val="002C37AF"/>
    <w:rsid w:val="00366B8C"/>
    <w:rsid w:val="00383678"/>
    <w:rsid w:val="00383CCC"/>
    <w:rsid w:val="00445B6B"/>
    <w:rsid w:val="0044650F"/>
    <w:rsid w:val="00584350"/>
    <w:rsid w:val="005A4589"/>
    <w:rsid w:val="005D5E6F"/>
    <w:rsid w:val="006D2B7D"/>
    <w:rsid w:val="007D7008"/>
    <w:rsid w:val="008963C5"/>
    <w:rsid w:val="008A7911"/>
    <w:rsid w:val="008C45E6"/>
    <w:rsid w:val="00923A35"/>
    <w:rsid w:val="009533B3"/>
    <w:rsid w:val="009935DA"/>
    <w:rsid w:val="009C05F9"/>
    <w:rsid w:val="00A17153"/>
    <w:rsid w:val="00AD4231"/>
    <w:rsid w:val="00AF5502"/>
    <w:rsid w:val="00B10F65"/>
    <w:rsid w:val="00B127D0"/>
    <w:rsid w:val="00C22DA6"/>
    <w:rsid w:val="00C329C9"/>
    <w:rsid w:val="00CC46B1"/>
    <w:rsid w:val="00CD6932"/>
    <w:rsid w:val="00D65F9D"/>
    <w:rsid w:val="00D83EE6"/>
    <w:rsid w:val="00DA114A"/>
    <w:rsid w:val="00E105B8"/>
    <w:rsid w:val="00E82045"/>
    <w:rsid w:val="00EF0312"/>
    <w:rsid w:val="00F131AC"/>
    <w:rsid w:val="00F15425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Default">
    <w:name w:val="Default"/>
    <w:rsid w:val="00D83EE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Default">
    <w:name w:val="Default"/>
    <w:rsid w:val="00D83EE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henounproject.com/legal/" TargetMode="External"/><Relationship Id="rId18" Type="http://schemas.openxmlformats.org/officeDocument/2006/relationships/hyperlink" Target="https://thenounproject.com/lega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henounproject.com/term/business-wear/661502/" TargetMode="External"/><Relationship Id="rId17" Type="http://schemas.openxmlformats.org/officeDocument/2006/relationships/hyperlink" Target="https://thenounproject.com/leg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nounproject.com/term/coins/92123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enounproject.com/lega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henounproject.com/legal/" TargetMode="External"/><Relationship Id="rId10" Type="http://schemas.openxmlformats.org/officeDocument/2006/relationships/hyperlink" Target="https://thenounproject.com/legal/" TargetMode="External"/><Relationship Id="rId19" Type="http://schemas.openxmlformats.org/officeDocument/2006/relationships/hyperlink" Target="https://thenounproject.com/leg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enounproject.com/term/dollar-coins/481802/" TargetMode="External"/><Relationship Id="rId14" Type="http://schemas.openxmlformats.org/officeDocument/2006/relationships/hyperlink" Target="https://thenounproject.com/term/disco-dance/68258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\AppData\Local\Temp\UE_Beschreibung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4E69-CFED-45F8-B75C-3BC42869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UE_Beschreibung_mit LS-Logo.dotx</Template>
  <TotalTime>0</TotalTime>
  <Pages>2</Pages>
  <Words>546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Cleesattel</dc:creator>
  <cp:lastModifiedBy>Barbian, Markus (LS)</cp:lastModifiedBy>
  <cp:revision>10</cp:revision>
  <dcterms:created xsi:type="dcterms:W3CDTF">2017-09-21T10:20:00Z</dcterms:created>
  <dcterms:modified xsi:type="dcterms:W3CDTF">2017-10-20T13:11:00Z</dcterms:modified>
</cp:coreProperties>
</file>